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D2DB" w14:textId="77777777" w:rsidR="00447B70" w:rsidRDefault="00344076" w:rsidP="00447B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 w:rsidR="00447B70" w:rsidRPr="00447B70">
        <w:rPr>
          <w:b/>
          <w:sz w:val="36"/>
          <w:szCs w:val="36"/>
        </w:rPr>
        <w:t xml:space="preserve"> Annual Statement of </w:t>
      </w:r>
    </w:p>
    <w:p w14:paraId="6305D002" w14:textId="77777777" w:rsidR="00026550" w:rsidRPr="00447B70" w:rsidRDefault="00447B70" w:rsidP="00447B70">
      <w:pPr>
        <w:jc w:val="center"/>
        <w:rPr>
          <w:b/>
          <w:sz w:val="36"/>
          <w:szCs w:val="36"/>
        </w:rPr>
      </w:pPr>
      <w:r w:rsidRPr="00447B70">
        <w:rPr>
          <w:b/>
          <w:sz w:val="36"/>
          <w:szCs w:val="36"/>
        </w:rPr>
        <w:t xml:space="preserve">IM Asset Management </w:t>
      </w:r>
      <w:r>
        <w:rPr>
          <w:b/>
          <w:sz w:val="36"/>
          <w:szCs w:val="36"/>
        </w:rPr>
        <w:t xml:space="preserve">Limited’s </w:t>
      </w:r>
      <w:r w:rsidRPr="00447B70">
        <w:rPr>
          <w:b/>
          <w:sz w:val="36"/>
          <w:szCs w:val="36"/>
        </w:rPr>
        <w:t>Implementation of its Engagement Policy</w:t>
      </w:r>
    </w:p>
    <w:p w14:paraId="7109BC42" w14:textId="77777777" w:rsidR="00447B70" w:rsidRDefault="00447B70" w:rsidP="00026550"/>
    <w:p w14:paraId="1D882085" w14:textId="77777777" w:rsidR="00447B70" w:rsidRDefault="00447B70" w:rsidP="00026550"/>
    <w:p w14:paraId="0A546191" w14:textId="77777777" w:rsidR="00447B70" w:rsidRDefault="00447B70" w:rsidP="00026550"/>
    <w:p w14:paraId="622FA395" w14:textId="1E744D57" w:rsidR="00447B70" w:rsidRDefault="00447B70" w:rsidP="00026550">
      <w:pPr>
        <w:rPr>
          <w:b/>
        </w:rPr>
      </w:pPr>
      <w:r>
        <w:t>Under the Shareholders Rights II (SRD II), IM Asset Management, also referred to as ‘IMAML’ or the</w:t>
      </w:r>
      <w:r w:rsidR="0064332F">
        <w:t xml:space="preserve"> </w:t>
      </w:r>
      <w:r>
        <w:t>’Firm’, is required to publicly disclose how it has implemented it’s Engagement Policy on an annual basis</w:t>
      </w:r>
      <w:r w:rsidR="002914B3">
        <w:t>. The F</w:t>
      </w:r>
      <w:r>
        <w:t xml:space="preserve">irm’s engagement policy is set out in its Stewardship Code and can be found </w:t>
      </w:r>
      <w:hyperlink r:id="rId4" w:history="1">
        <w:r w:rsidRPr="00A476DD">
          <w:rPr>
            <w:rStyle w:val="Hyperlink"/>
          </w:rPr>
          <w:t>here</w:t>
        </w:r>
      </w:hyperlink>
      <w:r w:rsidR="00A476DD">
        <w:t>.</w:t>
      </w:r>
    </w:p>
    <w:p w14:paraId="58A375E7" w14:textId="77777777" w:rsidR="0064332F" w:rsidRDefault="0064332F" w:rsidP="00026550">
      <w:pPr>
        <w:rPr>
          <w:b/>
        </w:rPr>
      </w:pPr>
    </w:p>
    <w:p w14:paraId="11EEF28B" w14:textId="77777777" w:rsidR="0064332F" w:rsidRPr="0064332F" w:rsidRDefault="0064332F" w:rsidP="00026550">
      <w:pPr>
        <w:rPr>
          <w:b/>
        </w:rPr>
      </w:pPr>
      <w:r w:rsidRPr="0064332F">
        <w:rPr>
          <w:b/>
        </w:rPr>
        <w:t>Shareholder engagement approach</w:t>
      </w:r>
    </w:p>
    <w:p w14:paraId="16DB66E3" w14:textId="77777777" w:rsidR="0064332F" w:rsidRDefault="0064332F" w:rsidP="00026550">
      <w:pPr>
        <w:rPr>
          <w:b/>
        </w:rPr>
      </w:pPr>
    </w:p>
    <w:p w14:paraId="7A06C244" w14:textId="77777777" w:rsidR="0064332F" w:rsidRPr="0064332F" w:rsidRDefault="0064332F" w:rsidP="00026550">
      <w:r w:rsidRPr="0064332F">
        <w:t>In the period 30</w:t>
      </w:r>
      <w:r w:rsidRPr="0064332F">
        <w:rPr>
          <w:vertAlign w:val="superscript"/>
        </w:rPr>
        <w:t>th</w:t>
      </w:r>
      <w:r w:rsidRPr="0064332F">
        <w:t xml:space="preserve"> June</w:t>
      </w:r>
      <w:r w:rsidR="00344076">
        <w:t xml:space="preserve"> 2021</w:t>
      </w:r>
      <w:r w:rsidRPr="0064332F">
        <w:t xml:space="preserve"> to 1</w:t>
      </w:r>
      <w:r w:rsidRPr="0064332F">
        <w:rPr>
          <w:vertAlign w:val="superscript"/>
        </w:rPr>
        <w:t>st</w:t>
      </w:r>
      <w:r w:rsidRPr="0064332F">
        <w:t xml:space="preserve"> July</w:t>
      </w:r>
      <w:r w:rsidR="002914B3">
        <w:t xml:space="preserve"> 202</w:t>
      </w:r>
      <w:r w:rsidR="00344076">
        <w:t>2</w:t>
      </w:r>
      <w:r w:rsidRPr="0064332F">
        <w:t xml:space="preserve"> IMAML</w:t>
      </w:r>
      <w:r w:rsidR="002914B3">
        <w:t xml:space="preserve"> </w:t>
      </w:r>
      <w:r w:rsidRPr="0064332F">
        <w:t xml:space="preserve">has invested, on behalf of retail clients, </w:t>
      </w:r>
      <w:r w:rsidR="002914B3">
        <w:t xml:space="preserve">in </w:t>
      </w:r>
      <w:r w:rsidRPr="0064332F">
        <w:t>shares of companies with a register</w:t>
      </w:r>
      <w:r w:rsidR="00CF3487">
        <w:t>ed</w:t>
      </w:r>
      <w:r w:rsidRPr="0064332F">
        <w:t xml:space="preserve"> office </w:t>
      </w:r>
      <w:r w:rsidR="00CF3487">
        <w:t>of</w:t>
      </w:r>
      <w:r w:rsidRPr="0064332F">
        <w:t xml:space="preserve"> an EU member state whose shares are admitted to trading on an EEA regulated market (or on a comparable market outside of the EU).</w:t>
      </w:r>
    </w:p>
    <w:p w14:paraId="7057A68F" w14:textId="77777777" w:rsidR="0064332F" w:rsidRDefault="0064332F" w:rsidP="00026550">
      <w:pPr>
        <w:rPr>
          <w:b/>
        </w:rPr>
      </w:pPr>
    </w:p>
    <w:p w14:paraId="6D9D9F87" w14:textId="77777777" w:rsidR="0064332F" w:rsidRDefault="0064332F" w:rsidP="00026550">
      <w:pPr>
        <w:rPr>
          <w:b/>
        </w:rPr>
      </w:pPr>
      <w:r>
        <w:rPr>
          <w:b/>
        </w:rPr>
        <w:t>Voting behaviours</w:t>
      </w:r>
    </w:p>
    <w:p w14:paraId="52FDE751" w14:textId="77777777" w:rsidR="0064332F" w:rsidRDefault="0064332F" w:rsidP="00026550">
      <w:pPr>
        <w:rPr>
          <w:b/>
        </w:rPr>
      </w:pPr>
    </w:p>
    <w:p w14:paraId="719FF034" w14:textId="77777777" w:rsidR="0064332F" w:rsidRPr="004620BE" w:rsidRDefault="004620BE" w:rsidP="00026550">
      <w:r>
        <w:t xml:space="preserve">IMAML has not cast any votes that would </w:t>
      </w:r>
      <w:r w:rsidR="002914B3">
        <w:t xml:space="preserve">be </w:t>
      </w:r>
      <w:r>
        <w:t>deemed as significant. All votes cast in the period were deem</w:t>
      </w:r>
      <w:r w:rsidR="002914B3">
        <w:t>ed</w:t>
      </w:r>
      <w:r>
        <w:t xml:space="preserve"> insignificant in accordance with their size relative to the voting population.</w:t>
      </w:r>
    </w:p>
    <w:p w14:paraId="1FCEFCAB" w14:textId="77777777" w:rsidR="0064332F" w:rsidRDefault="0064332F" w:rsidP="00026550">
      <w:pPr>
        <w:rPr>
          <w:b/>
        </w:rPr>
      </w:pPr>
    </w:p>
    <w:p w14:paraId="62BFF6AC" w14:textId="77777777" w:rsidR="0064332F" w:rsidRDefault="0064332F" w:rsidP="00026550">
      <w:pPr>
        <w:rPr>
          <w:b/>
        </w:rPr>
      </w:pPr>
      <w:r>
        <w:rPr>
          <w:b/>
        </w:rPr>
        <w:t>Proxy services</w:t>
      </w:r>
    </w:p>
    <w:p w14:paraId="79671A6B" w14:textId="77777777" w:rsidR="0064332F" w:rsidRDefault="0064332F" w:rsidP="00026550">
      <w:pPr>
        <w:rPr>
          <w:b/>
        </w:rPr>
      </w:pPr>
    </w:p>
    <w:p w14:paraId="036D7755" w14:textId="77777777" w:rsidR="004620BE" w:rsidRPr="004620BE" w:rsidRDefault="004620BE" w:rsidP="00026550">
      <w:r w:rsidRPr="004620BE">
        <w:t xml:space="preserve">IMAML does not use the services of Proxy </w:t>
      </w:r>
      <w:r w:rsidR="002914B3">
        <w:t>Advisors</w:t>
      </w:r>
      <w:r w:rsidRPr="004620BE">
        <w:t xml:space="preserve"> </w:t>
      </w:r>
      <w:r>
        <w:t xml:space="preserve">for the purpose of its engagement activities. </w:t>
      </w:r>
    </w:p>
    <w:p w14:paraId="1987A01E" w14:textId="77777777" w:rsidR="004620BE" w:rsidRDefault="004620BE" w:rsidP="00026550">
      <w:pPr>
        <w:rPr>
          <w:b/>
        </w:rPr>
      </w:pPr>
    </w:p>
    <w:p w14:paraId="03166722" w14:textId="77777777" w:rsidR="0064332F" w:rsidRDefault="0064332F" w:rsidP="00026550">
      <w:pPr>
        <w:rPr>
          <w:b/>
        </w:rPr>
      </w:pPr>
      <w:r>
        <w:rPr>
          <w:b/>
        </w:rPr>
        <w:t>Conflicts of Interest</w:t>
      </w:r>
    </w:p>
    <w:p w14:paraId="0D7F3ABA" w14:textId="77777777" w:rsidR="0064332F" w:rsidRDefault="0064332F" w:rsidP="00026550">
      <w:pPr>
        <w:rPr>
          <w:b/>
        </w:rPr>
      </w:pPr>
    </w:p>
    <w:p w14:paraId="64FCADF7" w14:textId="77777777" w:rsidR="004620BE" w:rsidRPr="004620BE" w:rsidRDefault="004620BE" w:rsidP="00026550">
      <w:r w:rsidRPr="004620BE">
        <w:t xml:space="preserve">In all </w:t>
      </w:r>
      <w:r>
        <w:t xml:space="preserve">engagement activities </w:t>
      </w:r>
      <w:r w:rsidRPr="004620BE">
        <w:t>the firm has</w:t>
      </w:r>
      <w:r>
        <w:t xml:space="preserve"> </w:t>
      </w:r>
      <w:r w:rsidRPr="004620BE">
        <w:t>been free of any conflict of interest</w:t>
      </w:r>
      <w:r w:rsidR="002914B3">
        <w:t>s</w:t>
      </w:r>
      <w:r>
        <w:t xml:space="preserve"> </w:t>
      </w:r>
      <w:r w:rsidR="002914B3">
        <w:t>that would impact on its voting behaviour.</w:t>
      </w:r>
    </w:p>
    <w:sectPr w:rsidR="004620BE" w:rsidRPr="004620BE" w:rsidSect="00960D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B70"/>
    <w:rsid w:val="00005366"/>
    <w:rsid w:val="00026550"/>
    <w:rsid w:val="00061ED4"/>
    <w:rsid w:val="00086773"/>
    <w:rsid w:val="002914B3"/>
    <w:rsid w:val="00344076"/>
    <w:rsid w:val="00402813"/>
    <w:rsid w:val="00447B70"/>
    <w:rsid w:val="004620BE"/>
    <w:rsid w:val="00512101"/>
    <w:rsid w:val="0064332F"/>
    <w:rsid w:val="007450C7"/>
    <w:rsid w:val="008206CA"/>
    <w:rsid w:val="008742DB"/>
    <w:rsid w:val="00900289"/>
    <w:rsid w:val="00960D3A"/>
    <w:rsid w:val="009B5DA9"/>
    <w:rsid w:val="00A476DD"/>
    <w:rsid w:val="00AF53BE"/>
    <w:rsid w:val="00CD5770"/>
    <w:rsid w:val="00CF3487"/>
    <w:rsid w:val="00D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B095"/>
  <w15:docId w15:val="{115EAAAD-F23C-44AB-A5CA-F284915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A476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winmitchell.com/terms-conditions/our-regulatory-information/asset-management-documen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Ayshea Furlong</dc:creator>
  <cp:lastModifiedBy>James Nuttall</cp:lastModifiedBy>
  <cp:revision>3</cp:revision>
  <dcterms:created xsi:type="dcterms:W3CDTF">2023-02-09T10:26:00Z</dcterms:created>
  <dcterms:modified xsi:type="dcterms:W3CDTF">2023-03-17T10:33:00Z</dcterms:modified>
</cp:coreProperties>
</file>